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DC4B62">
        <w:rPr>
          <w:rFonts w:cs="Arial"/>
          <w:bCs/>
        </w:rPr>
        <w:t xml:space="preserve"> 54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A66EC3">
        <w:rPr>
          <w:rFonts w:eastAsia="Calibri" w:cs="Arial"/>
          <w:sz w:val="26"/>
          <w:szCs w:val="26"/>
          <w:lang w:eastAsia="en-US"/>
        </w:rPr>
        <w:t>24</w:t>
      </w:r>
      <w:r>
        <w:rPr>
          <w:rFonts w:eastAsia="Calibri" w:cs="Arial"/>
          <w:sz w:val="26"/>
          <w:szCs w:val="26"/>
          <w:lang w:eastAsia="en-US"/>
        </w:rPr>
        <w:t>.0</w:t>
      </w:r>
      <w:r w:rsidR="00A66EC3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DC4B62" w:rsidRDefault="007877FD" w:rsidP="00DC4B62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C5746">
        <w:rPr>
          <w:rFonts w:eastAsia="Calibri" w:cs="Arial"/>
          <w:sz w:val="26"/>
          <w:szCs w:val="26"/>
          <w:lang w:eastAsia="en-US"/>
        </w:rPr>
        <w:t>1</w:t>
      </w:r>
      <w:r w:rsidR="00A21F77">
        <w:rPr>
          <w:rFonts w:eastAsia="Calibri" w:cs="Arial"/>
          <w:sz w:val="26"/>
          <w:szCs w:val="26"/>
          <w:lang w:eastAsia="en-US"/>
        </w:rPr>
        <w:t>3</w:t>
      </w:r>
      <w:r w:rsidR="00DC4B62">
        <w:rPr>
          <w:rFonts w:eastAsia="Calibri" w:cs="Arial"/>
          <w:sz w:val="26"/>
          <w:szCs w:val="26"/>
          <w:lang w:eastAsia="en-US"/>
        </w:rPr>
        <w:t>2</w:t>
      </w:r>
      <w:r w:rsidRPr="00F565DA">
        <w:rPr>
          <w:rFonts w:eastAsia="Calibri" w:cs="Arial"/>
          <w:sz w:val="26"/>
          <w:szCs w:val="26"/>
          <w:lang w:eastAsia="en-US"/>
        </w:rPr>
        <w:t xml:space="preserve"> «</w:t>
      </w:r>
      <w:r w:rsidR="00DC4B62" w:rsidRPr="00DC4B62">
        <w:rPr>
          <w:sz w:val="26"/>
          <w:szCs w:val="26"/>
        </w:rPr>
        <w:t>Выдача специального разрешения на движение по</w:t>
      </w:r>
    </w:p>
    <w:p w:rsidR="00DC4B62" w:rsidRDefault="00DC4B62" w:rsidP="00DC4B62">
      <w:pPr>
        <w:ind w:firstLine="0"/>
        <w:jc w:val="left"/>
        <w:rPr>
          <w:bCs/>
          <w:sz w:val="26"/>
          <w:szCs w:val="26"/>
        </w:rPr>
      </w:pPr>
      <w:r w:rsidRPr="00DC4B62">
        <w:rPr>
          <w:sz w:val="26"/>
          <w:szCs w:val="26"/>
        </w:rPr>
        <w:t xml:space="preserve"> автомобильным дорогам тяжеловесного и (или) крупногабаритного транспортного средства </w:t>
      </w:r>
      <w:r w:rsidRPr="00DC4B62">
        <w:rPr>
          <w:bCs/>
          <w:sz w:val="26"/>
          <w:szCs w:val="26"/>
        </w:rPr>
        <w:t xml:space="preserve">в случае, если маршрут, часть маршрута транспортного средства проходят по автомобильным дорогам </w:t>
      </w:r>
    </w:p>
    <w:p w:rsidR="00DC4B62" w:rsidRDefault="00DC4B62" w:rsidP="00DC4B62">
      <w:pPr>
        <w:ind w:firstLine="0"/>
        <w:jc w:val="left"/>
        <w:rPr>
          <w:bCs/>
          <w:sz w:val="26"/>
          <w:szCs w:val="26"/>
        </w:rPr>
      </w:pPr>
      <w:r w:rsidRPr="00DC4B62">
        <w:rPr>
          <w:bCs/>
          <w:sz w:val="26"/>
          <w:szCs w:val="26"/>
        </w:rPr>
        <w:t xml:space="preserve">местного значения поселения, при условии, что маршрут такого транспортного средства проходит в границах этого поселения и </w:t>
      </w:r>
    </w:p>
    <w:p w:rsidR="007877FD" w:rsidRPr="00A66EC3" w:rsidRDefault="00DC4B62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DC4B62">
        <w:rPr>
          <w:bCs/>
          <w:sz w:val="26"/>
          <w:szCs w:val="26"/>
        </w:rPr>
        <w:t>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rPr>
          <w:rFonts w:eastAsia="Calibri" w:cs="Arial"/>
          <w:sz w:val="26"/>
          <w:szCs w:val="26"/>
          <w:lang w:eastAsia="en-US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Default="003C162B" w:rsidP="00F824F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DC4B62" w:rsidRPr="00DC4B62">
        <w:rPr>
          <w:sz w:val="26"/>
          <w:szCs w:val="26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DC4B62" w:rsidRPr="00DC4B62">
        <w:rPr>
          <w:bCs/>
          <w:sz w:val="26"/>
          <w:szCs w:val="26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>ского поселения от 24</w:t>
      </w:r>
      <w:r w:rsidR="00F565DA">
        <w:rPr>
          <w:rFonts w:eastAsia="Calibri" w:cs="Arial"/>
          <w:lang w:eastAsia="en-US"/>
        </w:rPr>
        <w:t>.0</w:t>
      </w:r>
      <w:r w:rsidR="00A66EC3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</w:t>
      </w:r>
      <w:r w:rsidR="00A21F77">
        <w:rPr>
          <w:rFonts w:eastAsia="Calibri" w:cs="Arial"/>
          <w:lang w:eastAsia="en-US"/>
        </w:rPr>
        <w:t>3</w:t>
      </w:r>
      <w:r w:rsidR="00DC4B62">
        <w:rPr>
          <w:rFonts w:eastAsia="Calibri" w:cs="Arial"/>
          <w:lang w:eastAsia="en-US"/>
        </w:rPr>
        <w:t>2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27.07.2010 № </w:t>
      </w:r>
      <w:r w:rsidRPr="00274DE8">
        <w:rPr>
          <w:rFonts w:eastAsia="Calibri" w:cs="Arial"/>
          <w:lang w:eastAsia="en-US"/>
        </w:rPr>
        <w:lastRenderedPageBreak/>
        <w:t>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="00CE0EE9" w:rsidRPr="00274DE8">
        <w:rPr>
          <w:rFonts w:eastAsia="Calibri" w:cs="Arial"/>
          <w:lang w:eastAsia="en-US"/>
        </w:rPr>
        <w:lastRenderedPageBreak/>
        <w:t>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</w:t>
      </w:r>
      <w:r w:rsidR="00CE0EE9" w:rsidRPr="00274DE8">
        <w:rPr>
          <w:rFonts w:eastAsia="Calibri" w:cs="Arial"/>
          <w:lang w:eastAsia="en-US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40" w:rsidRDefault="00EE5940">
      <w:r>
        <w:separator/>
      </w:r>
    </w:p>
  </w:endnote>
  <w:endnote w:type="continuationSeparator" w:id="0">
    <w:p w:rsidR="00EE5940" w:rsidRDefault="00EE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457E1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40" w:rsidRDefault="00EE5940">
      <w:r>
        <w:separator/>
      </w:r>
    </w:p>
  </w:footnote>
  <w:footnote w:type="continuationSeparator" w:id="0">
    <w:p w:rsidR="00EE5940" w:rsidRDefault="00EE5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457E1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56A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57E1C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2315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1F77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5F71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A4FB1"/>
    <w:rsid w:val="00DB60A0"/>
    <w:rsid w:val="00DC0800"/>
    <w:rsid w:val="00DC4B62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746"/>
    <w:rsid w:val="00EC5BD5"/>
    <w:rsid w:val="00EC7101"/>
    <w:rsid w:val="00ED18B0"/>
    <w:rsid w:val="00ED27CC"/>
    <w:rsid w:val="00EE0C14"/>
    <w:rsid w:val="00EE26F2"/>
    <w:rsid w:val="00EE2D0A"/>
    <w:rsid w:val="00EE5940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43E4-9C2B-459A-84A1-44243FF3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180</TotalTime>
  <Pages>5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28</cp:revision>
  <cp:lastPrinted>2018-08-06T05:58:00Z</cp:lastPrinted>
  <dcterms:created xsi:type="dcterms:W3CDTF">2018-08-02T10:38:00Z</dcterms:created>
  <dcterms:modified xsi:type="dcterms:W3CDTF">2018-09-04T08:48:00Z</dcterms:modified>
</cp:coreProperties>
</file>