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C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2025 года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7C4FC7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20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Старомеловатского сельского поселения Петропавловского муниципального 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7C4FC7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07</w:t>
      </w:r>
      <w:r w:rsidR="00AB0AC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.07.2025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народных депутатов Старомеловатского сельского поселения Петропавловского муниципального района Воронежской области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0ACD" w:rsidRDefault="00AB0ACD" w:rsidP="00AB0AC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AB0ACD" w:rsidRDefault="00AB0ACD" w:rsidP="00AB0AC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AB0ACD" w:rsidRDefault="00AB0ACD" w:rsidP="00AB0ACD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AB0ACD" w:rsidRDefault="00AB0ACD" w:rsidP="00AB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0ACD">
          <w:pgSz w:w="11909" w:h="16834"/>
          <w:pgMar w:top="1152" w:right="835" w:bottom="360" w:left="1699" w:header="720" w:footer="720" w:gutter="0"/>
          <w:cols w:space="720"/>
        </w:sectPr>
      </w:pPr>
    </w:p>
    <w:p w:rsidR="00AB0ACD" w:rsidRPr="007C4FC7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4FC7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РАЗДЕЛ </w:t>
      </w:r>
      <w:r w:rsidRPr="007C4FC7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II</w:t>
      </w:r>
    </w:p>
    <w:p w:rsidR="00AB0ACD" w:rsidRPr="007C4FC7" w:rsidRDefault="007C4FC7" w:rsidP="007C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4FC7">
        <w:rPr>
          <w:rFonts w:ascii="Times New Roman" w:eastAsia="Times New Roman" w:hAnsi="Times New Roman" w:cs="Times New Roman"/>
          <w:b/>
          <w:sz w:val="18"/>
          <w:szCs w:val="18"/>
        </w:rPr>
        <w:t>РЕШЕНИЯ СОВЕТА НАРОДНЫХ ДЕПУТАТОВ</w:t>
      </w:r>
    </w:p>
    <w:p w:rsidR="00AB0ACD" w:rsidRPr="007C4FC7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4FC7">
        <w:rPr>
          <w:rFonts w:ascii="Times New Roman" w:eastAsia="Times New Roman" w:hAnsi="Times New Roman" w:cs="Times New Roman"/>
          <w:b/>
          <w:sz w:val="18"/>
          <w:szCs w:val="18"/>
        </w:rPr>
        <w:t xml:space="preserve"> СТАРОМЕЛОВАТСКОГО СЕЛЬСКОГО ПОСЕЛЕНИЯ ПЕТРОПАВЛОВСКОГО МУНИЦИПАЛЬНОГО РАЙОНА </w:t>
      </w:r>
    </w:p>
    <w:p w:rsidR="00AB0ACD" w:rsidRPr="007C4FC7" w:rsidRDefault="00AB0ACD" w:rsidP="00AB0ACD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4FC7">
        <w:rPr>
          <w:rFonts w:ascii="Times New Roman" w:eastAsia="Times New Roman" w:hAnsi="Times New Roman" w:cs="Times New Roman"/>
          <w:b/>
          <w:sz w:val="18"/>
          <w:szCs w:val="18"/>
        </w:rPr>
        <w:t>ВОРОНЕЖСКОЙ ОБЛАСТИ</w:t>
      </w:r>
    </w:p>
    <w:p w:rsidR="00AB0ACD" w:rsidRPr="007C4FC7" w:rsidRDefault="00AB0ACD" w:rsidP="00AB0A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B0ACD" w:rsidRPr="007C4FC7" w:rsidRDefault="00AB0ACD" w:rsidP="00AB0A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b/>
          <w:smallCaps/>
          <w:sz w:val="18"/>
          <w:szCs w:val="18"/>
          <w:lang w:eastAsia="ru-RU"/>
        </w:rPr>
        <w:t xml:space="preserve"> </w:t>
      </w: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СОВЕТ НАРОДНЫХ ДЕПУТАТОВ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 СЕЛЬСКОГО ПОСЕЛЕНИЯ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ПЕТРОПАВЛОВСКОГО МУНИЦИПАЛЬНОГО РАЙОНА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ВОРОНЕЖСКОЙ ОБЛАСТИ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РЕШЕНИЕ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 07.07. 2025 г. N 21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right="3685"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сельского поселения Петропавловского муниципального района Воронежской области от «26» марта 2025 г. № 10 «Об утверждении Положения о муниципальном земельном контроле на территории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сельского поселения Петропавловского муниципального района Воронежской области Воронежской области»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right="3685" w:firstLine="54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В соответствии со статьей 72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сельского поселения, Совет народных депутатов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РЕШИЛ: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Внести в Положение о муниципальном земельном контроле на территории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сельского поселения Петропавловского муниципального района Воронежской области», утвержденное решением Совета народных депутатов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сельского поселения Петропавловского муниципального района Воронежской области от «26» </w:t>
      </w:r>
      <w:proofErr w:type="gram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марта  2025</w:t>
      </w:r>
      <w:proofErr w:type="gram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г. № 10 (далее – Положение), следующие изменения:</w:t>
      </w:r>
    </w:p>
    <w:p w:rsidR="007C4FC7" w:rsidRPr="007C4FC7" w:rsidRDefault="007C4FC7" w:rsidP="007C4FC7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Пункт 5 решения изложить в новой редакции: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«5. Утвердить перечень индикаторов рисков нарушения обязательных требований при осуществлении муниципального земельного контроля согласно приложению № 4 к настоящему решению».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1.2. Пункт 1.4 положения о муниципальном земельном контроле дополнить подпунктом «ж» следующего содержания: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«ж) исполнение предписаний об устранении нарушений обязательных требований, выданных должностными лицами органов местного самоуправления в пределах их компетенции».</w:t>
      </w:r>
    </w:p>
    <w:p w:rsidR="007C4FC7" w:rsidRPr="007C4FC7" w:rsidRDefault="007C4FC7" w:rsidP="007C4FC7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1 к Положению изложить в новой редакции: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left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«Приложение №1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Ключевые показатели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муниципального земельного контроля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 территории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сельского поселения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их целевые значения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7C4FC7" w:rsidRPr="007C4FC7" w:rsidTr="00776CF3">
        <w:tc>
          <w:tcPr>
            <w:tcW w:w="7196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Целевые значения</w:t>
            </w:r>
          </w:p>
        </w:tc>
      </w:tr>
      <w:tr w:rsidR="007C4FC7" w:rsidRPr="007C4FC7" w:rsidTr="00776CF3">
        <w:tc>
          <w:tcPr>
            <w:tcW w:w="7196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70 %</w:t>
            </w:r>
          </w:p>
        </w:tc>
      </w:tr>
      <w:tr w:rsidR="007C4FC7" w:rsidRPr="007C4FC7" w:rsidTr="00776CF3">
        <w:tc>
          <w:tcPr>
            <w:tcW w:w="7196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0 %</w:t>
            </w:r>
          </w:p>
        </w:tc>
      </w:tr>
      <w:tr w:rsidR="007C4FC7" w:rsidRPr="007C4FC7" w:rsidTr="00776CF3">
        <w:tc>
          <w:tcPr>
            <w:tcW w:w="7196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0 %</w:t>
            </w:r>
          </w:p>
        </w:tc>
      </w:tr>
      <w:tr w:rsidR="007C4FC7" w:rsidRPr="007C4FC7" w:rsidTr="00776CF3">
        <w:tc>
          <w:tcPr>
            <w:tcW w:w="7196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60 %</w:t>
            </w:r>
          </w:p>
        </w:tc>
      </w:tr>
      <w:tr w:rsidR="007C4FC7" w:rsidRPr="007C4FC7" w:rsidTr="00776CF3">
        <w:tc>
          <w:tcPr>
            <w:tcW w:w="7196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7C4FC7" w:rsidRPr="007C4FC7" w:rsidRDefault="007C4FC7" w:rsidP="007C4FC7">
            <w:pPr>
              <w:widowControl w:val="0"/>
              <w:autoSpaceDE w:val="0"/>
              <w:autoSpaceDN w:val="0"/>
              <w:spacing w:before="240"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C4FC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80%</w:t>
            </w:r>
          </w:p>
        </w:tc>
      </w:tr>
    </w:tbl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».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1.4. Приложение № 2 «Индикативные показатели муниципального земельного контроля» к Положению дополнить пунктом 22 следующего содержания: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</w:t>
      </w:r>
      <w:bookmarkStart w:id="0" w:name="_GoBack"/>
      <w:bookmarkEnd w:id="0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м государственного земельного надзора принято решение о возбуждении дела об административном правонарушении».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1.5. Пункт 2 Приложения № 3 «Критерии отнесения объектов муниципального земельного контроля к определенной категории </w:t>
      </w:r>
      <w:proofErr w:type="gram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риска»  Положения</w:t>
      </w:r>
      <w:proofErr w:type="gram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дополнить подпунктом «в» следующего содержания: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1.6. Приложение № 4 к Положению изложить в новой редакции: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«Приложение № 4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Перечень индикаторов риска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нарушения обязательных требований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при осуществлении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муниципального земельного контроля </w:t>
      </w: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Перечень индикаторов риска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агролесомелиоративным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насаждениям,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агрофитомелиоративным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насаждениям).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квадратической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машино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-места».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5. 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</w:t>
      </w:r>
      <w:proofErr w:type="gram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использовавшихся без предоставления земельных участков</w:t>
      </w:r>
      <w:proofErr w:type="gram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проведения инженерных изысканий;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капитального или текущего ремонта линейного объекта;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строительства временных или вспомогательных сооружений (включая ограждения, бытовки, навесы), складирования </w:t>
      </w: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 xml:space="preserve">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осуществления геологического изучения недр;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возведения некапитальных строений, сооружений, предназначенных для осуществления товарной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аквакультуры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(товарного рыбоводства); 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 Опубликовать настоящее решение в официальном периодическом издании "Вестник муниципальных правовых актов </w:t>
      </w:r>
      <w:proofErr w:type="spellStart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Старомеловатского</w:t>
      </w:r>
      <w:proofErr w:type="spellEnd"/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сельского поселения Петропавловского муниципального района Воронежской области".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3. Настоящее Решение вступает в силу с даты его официального опубликования.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C4FC7">
        <w:rPr>
          <w:rFonts w:ascii="Times New Roman" w:eastAsiaTheme="minorEastAsia" w:hAnsi="Times New Roman" w:cs="Times New Roman"/>
          <w:sz w:val="18"/>
          <w:szCs w:val="18"/>
          <w:lang w:eastAsia="ru-RU"/>
        </w:rPr>
        <w:t>4. Контроль за исполнением настоящего решения оставляю за собой.</w:t>
      </w:r>
    </w:p>
    <w:p w:rsidR="007C4FC7" w:rsidRPr="007C4FC7" w:rsidRDefault="007C4FC7" w:rsidP="007C4FC7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7C4FC7" w:rsidRPr="007C4FC7" w:rsidRDefault="007C4FC7" w:rsidP="007C4FC7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C4FC7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7C4FC7">
        <w:rPr>
          <w:rFonts w:ascii="Times New Roman" w:hAnsi="Times New Roman" w:cs="Times New Roman"/>
          <w:sz w:val="18"/>
          <w:szCs w:val="18"/>
        </w:rPr>
        <w:t>Старомеловатского</w:t>
      </w:r>
      <w:proofErr w:type="spellEnd"/>
    </w:p>
    <w:p w:rsidR="007C4FC7" w:rsidRPr="007C4FC7" w:rsidRDefault="007C4FC7" w:rsidP="007C4FC7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C4FC7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   </w:t>
      </w:r>
      <w:proofErr w:type="spellStart"/>
      <w:r w:rsidRPr="007C4FC7">
        <w:rPr>
          <w:rFonts w:ascii="Times New Roman" w:hAnsi="Times New Roman" w:cs="Times New Roman"/>
          <w:sz w:val="18"/>
          <w:szCs w:val="18"/>
        </w:rPr>
        <w:t>В.И.Мирошников</w:t>
      </w:r>
      <w:proofErr w:type="spellEnd"/>
    </w:p>
    <w:p w:rsidR="007C4FC7" w:rsidRPr="007C4FC7" w:rsidRDefault="007C4FC7" w:rsidP="007C4FC7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7C4FC7" w:rsidRPr="007C4FC7" w:rsidRDefault="007C4FC7" w:rsidP="007C4FC7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7C4FC7">
        <w:rPr>
          <w:rFonts w:ascii="Times New Roman" w:hAnsi="Times New Roman" w:cs="Times New Roman"/>
          <w:sz w:val="18"/>
          <w:szCs w:val="18"/>
        </w:rPr>
        <w:t xml:space="preserve">Председатель совета </w:t>
      </w:r>
    </w:p>
    <w:p w:rsidR="007C4FC7" w:rsidRPr="007C4FC7" w:rsidRDefault="007C4FC7" w:rsidP="007C4FC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C4FC7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</w:t>
      </w:r>
      <w:proofErr w:type="spellStart"/>
      <w:r w:rsidRPr="007C4FC7">
        <w:rPr>
          <w:rFonts w:ascii="Times New Roman" w:hAnsi="Times New Roman" w:cs="Times New Roman"/>
          <w:sz w:val="28"/>
          <w:szCs w:val="28"/>
        </w:rPr>
        <w:t>Р.О.Чмыхов</w:t>
      </w:r>
      <w:proofErr w:type="spellEnd"/>
      <w:r w:rsidRPr="007C4F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FC7" w:rsidRPr="007C4FC7" w:rsidRDefault="007C4FC7" w:rsidP="007C4FC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C4FC7">
        <w:rPr>
          <w:rFonts w:ascii="Times New Roman" w:hAnsi="Times New Roman" w:cs="Times New Roman"/>
          <w:sz w:val="28"/>
          <w:szCs w:val="28"/>
        </w:rPr>
        <w:t> </w:t>
      </w: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0005B0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0ACD" w:rsidRDefault="00AB0ACD" w:rsidP="00AB0AC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выпуск: глава Старомеловатского сельского поселения Петропавловского муниципального района Воронежской области Мирошников Владимир Иванович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редакции: 397673 Воронежская область Петропавловский район село Старая Меловая, ул. Первомайская, 22 т. (47365) 6-11-77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издателя: 397673 Воронежская область Петропавловский район село Старая Меловая, ул. Первомайская, 22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изготовителя: 397673 Воронежская область Петропавловский район село Старая Меловая, ул. Первомайская, 22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Подписано к печати: 0</w:t>
      </w:r>
      <w:r w:rsidR="007C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.07.2025 г., 1</w:t>
      </w:r>
      <w:r w:rsidR="007C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AB0ACD" w:rsidRDefault="00AB0ACD" w:rsidP="00AB0ACD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B0ACD" w:rsidRDefault="00AB0ACD" w:rsidP="00AB0ACD"/>
    <w:p w:rsidR="00AB0ACD" w:rsidRDefault="00AB0ACD" w:rsidP="00AB0A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AB0ACD">
          <w:pgSz w:w="11906" w:h="16838"/>
          <w:pgMar w:top="1134" w:right="900" w:bottom="719" w:left="850" w:header="708" w:footer="708" w:gutter="0"/>
          <w:cols w:space="720"/>
        </w:sectPr>
      </w:pPr>
    </w:p>
    <w:p w:rsidR="00AB0ACD" w:rsidRDefault="00AB0ACD" w:rsidP="00AB0AC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5A55B9" w:rsidRDefault="005A55B9"/>
    <w:sectPr w:rsidR="005A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60"/>
    <w:rsid w:val="000005B0"/>
    <w:rsid w:val="000C1060"/>
    <w:rsid w:val="005A55B9"/>
    <w:rsid w:val="007C4FC7"/>
    <w:rsid w:val="00A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506E"/>
  <w15:chartTrackingRefBased/>
  <w15:docId w15:val="{8AF68E50-7BEC-4B3A-B247-7F7A89E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CD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0005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4</cp:revision>
  <cp:lastPrinted>2025-07-07T08:09:00Z</cp:lastPrinted>
  <dcterms:created xsi:type="dcterms:W3CDTF">2025-07-03T07:48:00Z</dcterms:created>
  <dcterms:modified xsi:type="dcterms:W3CDTF">2025-07-07T08:10:00Z</dcterms:modified>
</cp:coreProperties>
</file>